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69D0" w14:textId="77777777" w:rsidR="00B1415D" w:rsidRDefault="00B1415D" w:rsidP="00B1415D">
      <w:pPr>
        <w:rPr>
          <w:rFonts w:ascii="Aptos" w:hAnsi="Aptos"/>
          <w:b/>
          <w:bCs/>
        </w:rPr>
      </w:pPr>
      <w:r w:rsidRPr="00B1415D">
        <w:rPr>
          <w:rFonts w:ascii="Aptos" w:hAnsi="Aptos"/>
          <w:b/>
          <w:bCs/>
        </w:rPr>
        <w:t>Kommunal- og forvaltningskomiteen</w:t>
      </w:r>
    </w:p>
    <w:p w14:paraId="7353A894" w14:textId="136C712B" w:rsidR="005F454E" w:rsidRPr="005F454E" w:rsidRDefault="005F454E" w:rsidP="00B1415D">
      <w:pPr>
        <w:rPr>
          <w:rFonts w:ascii="Aptos" w:hAnsi="Aptos"/>
        </w:rPr>
      </w:pP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 w:rsidRPr="005F454E">
        <w:rPr>
          <w:rFonts w:ascii="Aptos" w:hAnsi="Aptos"/>
        </w:rPr>
        <w:t>29.04.2026</w:t>
      </w:r>
    </w:p>
    <w:p w14:paraId="4816FDAB" w14:textId="77777777" w:rsidR="00B1415D" w:rsidRPr="00B1415D" w:rsidRDefault="00B1415D" w:rsidP="00B1415D">
      <w:pPr>
        <w:rPr>
          <w:rFonts w:ascii="Aptos" w:hAnsi="Aptos"/>
          <w:b/>
          <w:bCs/>
        </w:rPr>
      </w:pPr>
      <w:r w:rsidRPr="00B1415D">
        <w:rPr>
          <w:rFonts w:ascii="Aptos" w:hAnsi="Aptos"/>
          <w:b/>
          <w:bCs/>
        </w:rPr>
        <w:t>Innspill til Prop. 54 LS – lov om datadeling og dataforvaltning (dataforvaltningsloven)</w:t>
      </w:r>
    </w:p>
    <w:p w14:paraId="350E704D" w14:textId="77777777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Norsk Presseforbund (NP), Norsk Redaktørforening (NR), Mediebedriftenes Landsforening (MBL) og Norsk Journalistlag (NJ) støtter hovedgrepet i proposisjonen om å etablere et mer helhetlig regelverk for viderebruk av offentlig informasjon.</w:t>
      </w:r>
    </w:p>
    <w:p w14:paraId="05F6FD7D" w14:textId="77777777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Redaksjonelle medier er i økende grad avhengige av tilgang til strukturerte datasett, metadata og digitale registre for å kunne drive undersøkende journalistikk, ettergå offentlig ressursbruk og ivareta pressens demokratiske kontrollfunksjon.</w:t>
      </w:r>
    </w:p>
    <w:p w14:paraId="6F674AC5" w14:textId="77777777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Det er derfor positivt at regjeringen foreslår en egen lov som tydeliggjør at offentlige data skal kunne viderebrukes til ethvert formål.</w:t>
      </w:r>
    </w:p>
    <w:p w14:paraId="68AC67C4" w14:textId="77777777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Samtidig mener vi at lovforslaget i for stor grad prioriterer fleksibilitet for forvaltningen fremfor forpliktelser som faktisk sikrer tilgjengeliggjøring og viderebruk i praksis. Det svekker lovens potensial til å oppfylle formålet i § 1 om å fremme viderebruk, innovasjon og åpenhet gjennom enklere tilgang til offentlig informasjon.</w:t>
      </w:r>
    </w:p>
    <w:p w14:paraId="3915C250" w14:textId="77777777" w:rsidR="00B1415D" w:rsidRPr="00B1415D" w:rsidRDefault="00B1415D" w:rsidP="00B1415D">
      <w:pPr>
        <w:rPr>
          <w:rFonts w:ascii="Aptos" w:hAnsi="Aptos"/>
          <w:b/>
          <w:bCs/>
        </w:rPr>
      </w:pPr>
      <w:r w:rsidRPr="00B1415D">
        <w:rPr>
          <w:rFonts w:ascii="Aptos" w:hAnsi="Aptos"/>
          <w:b/>
          <w:bCs/>
        </w:rPr>
        <w:t>1. For omfattende skjønnsunntak svekker lovens effekt</w:t>
      </w:r>
    </w:p>
    <w:p w14:paraId="12CC576C" w14:textId="77777777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Lovforslaget inneholder flere skjønnsmessige forbehold, blant annet formuleringer som:</w:t>
      </w:r>
    </w:p>
    <w:p w14:paraId="44429457" w14:textId="77777777" w:rsidR="00B1415D" w:rsidRPr="00B1415D" w:rsidRDefault="00B1415D" w:rsidP="00B1415D">
      <w:pPr>
        <w:numPr>
          <w:ilvl w:val="0"/>
          <w:numId w:val="4"/>
        </w:numPr>
        <w:rPr>
          <w:rFonts w:ascii="Aptos" w:hAnsi="Aptos"/>
        </w:rPr>
      </w:pPr>
      <w:r w:rsidRPr="00B1415D">
        <w:rPr>
          <w:rFonts w:ascii="Aptos" w:hAnsi="Aptos"/>
        </w:rPr>
        <w:t xml:space="preserve">«dersom det er mulig og formålstjenlig» </w:t>
      </w:r>
    </w:p>
    <w:p w14:paraId="494199BB" w14:textId="77777777" w:rsidR="00B1415D" w:rsidRPr="00B1415D" w:rsidRDefault="00B1415D" w:rsidP="00B1415D">
      <w:pPr>
        <w:numPr>
          <w:ilvl w:val="0"/>
          <w:numId w:val="4"/>
        </w:numPr>
        <w:rPr>
          <w:rFonts w:ascii="Aptos" w:hAnsi="Aptos"/>
        </w:rPr>
      </w:pPr>
      <w:r w:rsidRPr="00B1415D">
        <w:rPr>
          <w:rFonts w:ascii="Aptos" w:hAnsi="Aptos"/>
        </w:rPr>
        <w:t xml:space="preserve">«dersom dette ikke medfører en uforholdsmessig arbeidsmengde» </w:t>
      </w:r>
    </w:p>
    <w:p w14:paraId="74B389C0" w14:textId="77777777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Dette gjelder særlig §§ 9, 10 og 11.</w:t>
      </w:r>
    </w:p>
    <w:p w14:paraId="26B87D64" w14:textId="18FED34F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 xml:space="preserve">Slike formuleringer gir offentlige virksomheter et </w:t>
      </w:r>
      <w:r w:rsidR="003A3EE8">
        <w:rPr>
          <w:rFonts w:ascii="Aptos" w:hAnsi="Aptos"/>
        </w:rPr>
        <w:t xml:space="preserve">for </w:t>
      </w:r>
      <w:r w:rsidRPr="00B1415D">
        <w:rPr>
          <w:rFonts w:ascii="Aptos" w:hAnsi="Aptos"/>
        </w:rPr>
        <w:t>vidt handlingsrom til å unnlate deling. Når loven samtidig skal legge til rette for mer tilgjengeliggjøring, bør terskelen for å avvise deling være tydeligere og snevrere definert.</w:t>
      </w:r>
    </w:p>
    <w:p w14:paraId="0EAF3BE0" w14:textId="77777777" w:rsidR="00B1415D" w:rsidRPr="00B1415D" w:rsidRDefault="00B1415D" w:rsidP="00B1415D">
      <w:pPr>
        <w:rPr>
          <w:rFonts w:ascii="Aptos" w:hAnsi="Aptos"/>
          <w:b/>
          <w:bCs/>
        </w:rPr>
      </w:pPr>
      <w:r w:rsidRPr="00B1415D">
        <w:rPr>
          <w:rFonts w:ascii="Aptos" w:hAnsi="Aptos"/>
          <w:b/>
          <w:bCs/>
        </w:rPr>
        <w:t>2. Behovet for publisering av metadata (§ 9)</w:t>
      </w:r>
    </w:p>
    <w:p w14:paraId="7398ABFB" w14:textId="248D6086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 xml:space="preserve">Vi </w:t>
      </w:r>
      <w:r w:rsidR="00863B95">
        <w:rPr>
          <w:rFonts w:ascii="Aptos" w:hAnsi="Aptos"/>
        </w:rPr>
        <w:t>ønsker å fremheve viktigheten av at offentlige virksomheter publiserer metadata, inkludert beskyttede data</w:t>
      </w:r>
      <w:r w:rsidRPr="00B1415D">
        <w:rPr>
          <w:rFonts w:ascii="Aptos" w:hAnsi="Aptos"/>
        </w:rPr>
        <w:t>.</w:t>
      </w:r>
    </w:p>
    <w:p w14:paraId="430AB172" w14:textId="2C8387CF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Metadata gir innsikt i hvilke datasett, modeller og informasjonsgrunnlag offentlige virksomheter bygger beslutninger på. Dette er viktig for journalistikk</w:t>
      </w:r>
      <w:r w:rsidR="00483200">
        <w:rPr>
          <w:rFonts w:ascii="Aptos" w:hAnsi="Aptos"/>
        </w:rPr>
        <w:t>en</w:t>
      </w:r>
      <w:r w:rsidRPr="00B1415D">
        <w:rPr>
          <w:rFonts w:ascii="Aptos" w:hAnsi="Aptos"/>
        </w:rPr>
        <w:t xml:space="preserve"> – og ikke minst for demokratisk kontroll og etterprøvbarhet.</w:t>
      </w:r>
    </w:p>
    <w:p w14:paraId="0C464699" w14:textId="22BF2074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 xml:space="preserve">For journalister kan tilgang til metadata gjøre det mulig å avdekke feil, svakheter eller systematiske skjevheter i offentlig beslutningsgrunnlag. Når stadig flere beslutningsprosesser digitaliseres, blir dette </w:t>
      </w:r>
      <w:r w:rsidR="00C83263">
        <w:rPr>
          <w:rFonts w:ascii="Aptos" w:hAnsi="Aptos"/>
        </w:rPr>
        <w:t xml:space="preserve">enda </w:t>
      </w:r>
      <w:r w:rsidRPr="00B1415D">
        <w:rPr>
          <w:rFonts w:ascii="Aptos" w:hAnsi="Aptos"/>
        </w:rPr>
        <w:t>viktigere.</w:t>
      </w:r>
    </w:p>
    <w:p w14:paraId="7F0F096F" w14:textId="77777777" w:rsidR="00B1415D" w:rsidRPr="00B1415D" w:rsidRDefault="00B1415D" w:rsidP="00B1415D">
      <w:pPr>
        <w:rPr>
          <w:rFonts w:ascii="Aptos" w:hAnsi="Aptos"/>
          <w:b/>
          <w:bCs/>
        </w:rPr>
      </w:pPr>
      <w:r w:rsidRPr="00B1415D">
        <w:rPr>
          <w:rFonts w:ascii="Aptos" w:hAnsi="Aptos"/>
          <w:b/>
          <w:bCs/>
        </w:rPr>
        <w:t>3. Prinsippet om innebygd åpenhet er ikke fulgt opp</w:t>
      </w:r>
    </w:p>
    <w:p w14:paraId="7EE9EDD1" w14:textId="77777777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Etter vårt syn er dette en av proposisjonens største svakheter.</w:t>
      </w:r>
    </w:p>
    <w:p w14:paraId="6F556CEC" w14:textId="77777777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Et mindretall i Viderebruksutvalget foreslo at offentlige virksomheter ved anskaffelse og utvikling av nye digitale systemer skulle sikre løsninger som legger til rette for datadeling og viderebruk. Dette er ikke fulgt opp i proposisjonen.</w:t>
      </w:r>
    </w:p>
    <w:p w14:paraId="3B409FA2" w14:textId="77777777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lastRenderedPageBreak/>
        <w:t>Konsekvensen er at offentlige virksomheter fortsatt kan investere i systemer som gjør det vanskelig eller kostbart å hente ut, sammenstille og dele data. Dette ser vi allerede i dag når manglende tekniske løsninger brukes som begrunnelse for manglende tilgjengeliggjøring.</w:t>
      </w:r>
    </w:p>
    <w:p w14:paraId="3938D41B" w14:textId="41ACCAB9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Det er dårlig ressursbruk å bygge nye digitale siloer samtidig som lovverket skal fremme datadeling. Komiteen bør be regjeringen følge opp prinsippet om innebygd åpenhet i senere lovarbeid.</w:t>
      </w:r>
    </w:p>
    <w:p w14:paraId="542DE9DF" w14:textId="77777777" w:rsidR="00B1415D" w:rsidRPr="00B1415D" w:rsidRDefault="00B1415D" w:rsidP="00B1415D">
      <w:pPr>
        <w:rPr>
          <w:rFonts w:ascii="Aptos" w:hAnsi="Aptos"/>
          <w:b/>
          <w:bCs/>
        </w:rPr>
      </w:pPr>
      <w:r w:rsidRPr="00B1415D">
        <w:rPr>
          <w:rFonts w:ascii="Aptos" w:hAnsi="Aptos"/>
          <w:b/>
          <w:bCs/>
        </w:rPr>
        <w:t>4. For mye overlates til forskrift</w:t>
      </w:r>
    </w:p>
    <w:p w14:paraId="0071F698" w14:textId="77777777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Store deler av lovens praktiske betydning utsettes til senere forskrifter, blant annet:</w:t>
      </w:r>
    </w:p>
    <w:p w14:paraId="2F0DCBE2" w14:textId="77777777" w:rsidR="00B1415D" w:rsidRPr="00B1415D" w:rsidRDefault="00B1415D" w:rsidP="00B1415D">
      <w:pPr>
        <w:numPr>
          <w:ilvl w:val="0"/>
          <w:numId w:val="5"/>
        </w:numPr>
        <w:rPr>
          <w:rFonts w:ascii="Aptos" w:hAnsi="Aptos"/>
        </w:rPr>
      </w:pPr>
      <w:r w:rsidRPr="00B1415D">
        <w:rPr>
          <w:rFonts w:ascii="Aptos" w:hAnsi="Aptos"/>
        </w:rPr>
        <w:t xml:space="preserve">hvilke metadata som skal publiseres </w:t>
      </w:r>
    </w:p>
    <w:p w14:paraId="3F536C74" w14:textId="77777777" w:rsidR="00B1415D" w:rsidRPr="00B1415D" w:rsidRDefault="00B1415D" w:rsidP="00B1415D">
      <w:pPr>
        <w:numPr>
          <w:ilvl w:val="0"/>
          <w:numId w:val="5"/>
        </w:numPr>
        <w:rPr>
          <w:rFonts w:ascii="Aptos" w:hAnsi="Aptos"/>
        </w:rPr>
      </w:pPr>
      <w:r w:rsidRPr="00B1415D">
        <w:rPr>
          <w:rFonts w:ascii="Aptos" w:hAnsi="Aptos"/>
        </w:rPr>
        <w:t xml:space="preserve">hvilke datasett som skal gjøres tilgjengelige </w:t>
      </w:r>
    </w:p>
    <w:p w14:paraId="7E746AD4" w14:textId="77777777" w:rsidR="00B1415D" w:rsidRPr="00B1415D" w:rsidRDefault="00B1415D" w:rsidP="00B1415D">
      <w:pPr>
        <w:numPr>
          <w:ilvl w:val="0"/>
          <w:numId w:val="5"/>
        </w:numPr>
        <w:rPr>
          <w:rFonts w:ascii="Aptos" w:hAnsi="Aptos"/>
        </w:rPr>
      </w:pPr>
      <w:r w:rsidRPr="00B1415D">
        <w:rPr>
          <w:rFonts w:ascii="Aptos" w:hAnsi="Aptos"/>
        </w:rPr>
        <w:t xml:space="preserve">tekniske standarder </w:t>
      </w:r>
    </w:p>
    <w:p w14:paraId="53333084" w14:textId="77777777" w:rsidR="00B1415D" w:rsidRPr="00B1415D" w:rsidRDefault="00B1415D" w:rsidP="00B1415D">
      <w:pPr>
        <w:numPr>
          <w:ilvl w:val="0"/>
          <w:numId w:val="5"/>
        </w:numPr>
        <w:rPr>
          <w:rFonts w:ascii="Aptos" w:hAnsi="Aptos"/>
        </w:rPr>
      </w:pPr>
      <w:r w:rsidRPr="00B1415D">
        <w:rPr>
          <w:rFonts w:ascii="Aptos" w:hAnsi="Aptos"/>
        </w:rPr>
        <w:t xml:space="preserve">klageordninger </w:t>
      </w:r>
    </w:p>
    <w:p w14:paraId="6DD90833" w14:textId="77777777" w:rsidR="00B1415D" w:rsidRPr="00B1415D" w:rsidRDefault="00B1415D" w:rsidP="00B1415D">
      <w:pPr>
        <w:numPr>
          <w:ilvl w:val="0"/>
          <w:numId w:val="5"/>
        </w:numPr>
        <w:rPr>
          <w:rFonts w:ascii="Aptos" w:hAnsi="Aptos"/>
        </w:rPr>
      </w:pPr>
      <w:r w:rsidRPr="00B1415D">
        <w:rPr>
          <w:rFonts w:ascii="Aptos" w:hAnsi="Aptos"/>
        </w:rPr>
        <w:t xml:space="preserve">betalingsordninger </w:t>
      </w:r>
    </w:p>
    <w:p w14:paraId="3A1C7AF9" w14:textId="77777777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Dette skaper usikkerhet for både brukere og virksomheter.</w:t>
      </w:r>
    </w:p>
    <w:p w14:paraId="71A67267" w14:textId="77777777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Når så sentrale spørsmål ikke avklares i loven, blir det vanskelig å vurdere hvor stor den reelle endringen faktisk vil være. Vi ber derfor komiteen understreke at forskriftene må sendes på brede offentlige høringer.</w:t>
      </w:r>
    </w:p>
    <w:p w14:paraId="197FD25B" w14:textId="77777777" w:rsidR="00B1415D" w:rsidRPr="00B1415D" w:rsidRDefault="00B1415D" w:rsidP="00B1415D">
      <w:pPr>
        <w:rPr>
          <w:rFonts w:ascii="Aptos" w:hAnsi="Aptos"/>
          <w:b/>
          <w:bCs/>
        </w:rPr>
      </w:pPr>
      <w:r w:rsidRPr="00B1415D">
        <w:rPr>
          <w:rFonts w:ascii="Aptos" w:hAnsi="Aptos"/>
          <w:b/>
          <w:bCs/>
        </w:rPr>
        <w:t>5. Aktiv tilgjengeliggjøring bør være hovedregelen</w:t>
      </w:r>
    </w:p>
    <w:p w14:paraId="57B5A720" w14:textId="77777777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Lovforslaget bygger fortsatt i stor grad på at brukere selv må be om tilgang til data.</w:t>
      </w:r>
    </w:p>
    <w:p w14:paraId="6ED96E0F" w14:textId="77777777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På sikt bør aktiv tilgjengeliggjøring være hovedregelen. Det vil:</w:t>
      </w:r>
    </w:p>
    <w:p w14:paraId="266023D2" w14:textId="77777777" w:rsidR="00B1415D" w:rsidRPr="00B1415D" w:rsidRDefault="00B1415D" w:rsidP="00B1415D">
      <w:pPr>
        <w:numPr>
          <w:ilvl w:val="0"/>
          <w:numId w:val="6"/>
        </w:numPr>
        <w:rPr>
          <w:rFonts w:ascii="Aptos" w:hAnsi="Aptos"/>
        </w:rPr>
      </w:pPr>
      <w:r w:rsidRPr="00B1415D">
        <w:rPr>
          <w:rFonts w:ascii="Aptos" w:hAnsi="Aptos"/>
        </w:rPr>
        <w:t xml:space="preserve">redusere antall innsynskrav </w:t>
      </w:r>
    </w:p>
    <w:p w14:paraId="514AF832" w14:textId="77777777" w:rsidR="00B1415D" w:rsidRPr="00B1415D" w:rsidRDefault="00B1415D" w:rsidP="00B1415D">
      <w:pPr>
        <w:numPr>
          <w:ilvl w:val="0"/>
          <w:numId w:val="6"/>
        </w:numPr>
        <w:rPr>
          <w:rFonts w:ascii="Aptos" w:hAnsi="Aptos"/>
        </w:rPr>
      </w:pPr>
      <w:r w:rsidRPr="00B1415D">
        <w:rPr>
          <w:rFonts w:ascii="Aptos" w:hAnsi="Aptos"/>
        </w:rPr>
        <w:t xml:space="preserve">redusere ressursbruk i forvaltningen </w:t>
      </w:r>
    </w:p>
    <w:p w14:paraId="442065E3" w14:textId="77777777" w:rsidR="00B1415D" w:rsidRPr="00B1415D" w:rsidRDefault="00B1415D" w:rsidP="00B1415D">
      <w:pPr>
        <w:numPr>
          <w:ilvl w:val="0"/>
          <w:numId w:val="6"/>
        </w:numPr>
        <w:rPr>
          <w:rFonts w:ascii="Aptos" w:hAnsi="Aptos"/>
        </w:rPr>
      </w:pPr>
      <w:r w:rsidRPr="00B1415D">
        <w:rPr>
          <w:rFonts w:ascii="Aptos" w:hAnsi="Aptos"/>
        </w:rPr>
        <w:t xml:space="preserve">gi lik tilgang til informasjon </w:t>
      </w:r>
    </w:p>
    <w:p w14:paraId="29F1997F" w14:textId="77777777" w:rsidR="00B1415D" w:rsidRPr="00B1415D" w:rsidRDefault="00B1415D" w:rsidP="00B1415D">
      <w:pPr>
        <w:numPr>
          <w:ilvl w:val="0"/>
          <w:numId w:val="6"/>
        </w:numPr>
        <w:rPr>
          <w:rFonts w:ascii="Aptos" w:hAnsi="Aptos"/>
        </w:rPr>
      </w:pPr>
      <w:r w:rsidRPr="00B1415D">
        <w:rPr>
          <w:rFonts w:ascii="Aptos" w:hAnsi="Aptos"/>
        </w:rPr>
        <w:t xml:space="preserve">styrke tilliten til offentlig sektor </w:t>
      </w:r>
    </w:p>
    <w:p w14:paraId="349A636C" w14:textId="77777777" w:rsidR="00B1415D" w:rsidRPr="00B1415D" w:rsidRDefault="00B1415D" w:rsidP="00B1415D">
      <w:pPr>
        <w:numPr>
          <w:ilvl w:val="0"/>
          <w:numId w:val="6"/>
        </w:numPr>
        <w:rPr>
          <w:rFonts w:ascii="Aptos" w:hAnsi="Aptos"/>
        </w:rPr>
      </w:pPr>
      <w:r w:rsidRPr="00B1415D">
        <w:rPr>
          <w:rFonts w:ascii="Aptos" w:hAnsi="Aptos"/>
        </w:rPr>
        <w:t xml:space="preserve">legge til rette for innovasjon og nye tjenester </w:t>
      </w:r>
    </w:p>
    <w:p w14:paraId="21E4E840" w14:textId="77777777" w:rsidR="00B1415D" w:rsidRPr="00B1415D" w:rsidRDefault="00B1415D" w:rsidP="00B1415D">
      <w:pPr>
        <w:numPr>
          <w:ilvl w:val="0"/>
          <w:numId w:val="6"/>
        </w:numPr>
        <w:rPr>
          <w:rFonts w:ascii="Aptos" w:hAnsi="Aptos"/>
        </w:rPr>
      </w:pPr>
      <w:r w:rsidRPr="00B1415D">
        <w:rPr>
          <w:rFonts w:ascii="Aptos" w:hAnsi="Aptos"/>
        </w:rPr>
        <w:t xml:space="preserve">styrke undersøkende journalistikk </w:t>
      </w:r>
    </w:p>
    <w:p w14:paraId="65AE93B3" w14:textId="77777777" w:rsidR="00B1415D" w:rsidRPr="00B1415D" w:rsidRDefault="00B1415D" w:rsidP="00B1415D">
      <w:pPr>
        <w:rPr>
          <w:rFonts w:ascii="Aptos" w:hAnsi="Aptos"/>
        </w:rPr>
      </w:pPr>
      <w:r w:rsidRPr="00B1415D">
        <w:rPr>
          <w:rFonts w:ascii="Aptos" w:hAnsi="Aptos"/>
        </w:rPr>
        <w:t>Aktiv publisering av relevante data vil både styrke offentligheten og gjøre forvaltningen mer effektiv. Komiteen bør derfor tydelig understreke at dette må være retningen for videre regelverksutvikling.</w:t>
      </w:r>
    </w:p>
    <w:p w14:paraId="40A84A77" w14:textId="77777777" w:rsidR="00424C33" w:rsidRPr="00B1415D" w:rsidRDefault="00424C33" w:rsidP="00B1415D">
      <w:pPr>
        <w:rPr>
          <w:rFonts w:ascii="Aptos" w:hAnsi="Aptos"/>
        </w:rPr>
      </w:pPr>
    </w:p>
    <w:sectPr w:rsidR="00424C33" w:rsidRPr="00B1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409"/>
    <w:multiLevelType w:val="multilevel"/>
    <w:tmpl w:val="040E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11F44"/>
    <w:multiLevelType w:val="multilevel"/>
    <w:tmpl w:val="5E28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D7F0F"/>
    <w:multiLevelType w:val="multilevel"/>
    <w:tmpl w:val="92D8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C2B58"/>
    <w:multiLevelType w:val="multilevel"/>
    <w:tmpl w:val="227C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45D39"/>
    <w:multiLevelType w:val="multilevel"/>
    <w:tmpl w:val="321C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42E2F"/>
    <w:multiLevelType w:val="multilevel"/>
    <w:tmpl w:val="E00A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922818">
    <w:abstractNumId w:val="2"/>
  </w:num>
  <w:num w:numId="2" w16cid:durableId="814373446">
    <w:abstractNumId w:val="3"/>
  </w:num>
  <w:num w:numId="3" w16cid:durableId="786001265">
    <w:abstractNumId w:val="5"/>
  </w:num>
  <w:num w:numId="4" w16cid:durableId="315183942">
    <w:abstractNumId w:val="1"/>
  </w:num>
  <w:num w:numId="5" w16cid:durableId="407580975">
    <w:abstractNumId w:val="4"/>
  </w:num>
  <w:num w:numId="6" w16cid:durableId="4602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6C"/>
    <w:rsid w:val="00036E40"/>
    <w:rsid w:val="0027615E"/>
    <w:rsid w:val="00357054"/>
    <w:rsid w:val="003A3EE8"/>
    <w:rsid w:val="00415D02"/>
    <w:rsid w:val="00424C33"/>
    <w:rsid w:val="00430E54"/>
    <w:rsid w:val="00483200"/>
    <w:rsid w:val="004A505A"/>
    <w:rsid w:val="004B1697"/>
    <w:rsid w:val="00561674"/>
    <w:rsid w:val="00566DF2"/>
    <w:rsid w:val="005A6E3C"/>
    <w:rsid w:val="005E5562"/>
    <w:rsid w:val="005F454E"/>
    <w:rsid w:val="006D4F6C"/>
    <w:rsid w:val="00831972"/>
    <w:rsid w:val="00847058"/>
    <w:rsid w:val="00863B95"/>
    <w:rsid w:val="0089383D"/>
    <w:rsid w:val="00926154"/>
    <w:rsid w:val="00971E54"/>
    <w:rsid w:val="00B07C5E"/>
    <w:rsid w:val="00B1415D"/>
    <w:rsid w:val="00C11B65"/>
    <w:rsid w:val="00C34765"/>
    <w:rsid w:val="00C34A52"/>
    <w:rsid w:val="00C83263"/>
    <w:rsid w:val="00D3532E"/>
    <w:rsid w:val="00D85042"/>
    <w:rsid w:val="00DE586C"/>
    <w:rsid w:val="00E723E8"/>
    <w:rsid w:val="00ED1D5D"/>
    <w:rsid w:val="00FA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386B"/>
  <w15:chartTrackingRefBased/>
  <w15:docId w15:val="{E9BC333A-0E4F-4DC7-905F-D0E0E8EC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4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4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4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4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4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4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4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4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4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D4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D4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D4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D4F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D4F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D4F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D4F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D4F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D4F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D4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D4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D4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D4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D4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D4F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D4F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D4F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D4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D4F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D4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572</Words>
  <Characters>3633</Characters>
  <Application>Microsoft Office Word</Application>
  <DocSecurity>0</DocSecurity>
  <Lines>67</Lines>
  <Paragraphs>47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Lindahl Nyrud</dc:creator>
  <cp:keywords/>
  <dc:description/>
  <cp:lastModifiedBy>Ina Lindahl Nyrud</cp:lastModifiedBy>
  <cp:revision>30</cp:revision>
  <dcterms:created xsi:type="dcterms:W3CDTF">2026-04-28T08:16:00Z</dcterms:created>
  <dcterms:modified xsi:type="dcterms:W3CDTF">2026-04-29T14:05:00Z</dcterms:modified>
</cp:coreProperties>
</file>